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5959E" w14:textId="4863C472" w:rsidR="00300C51" w:rsidRDefault="00300C51" w:rsidP="000F28CF">
      <w:r w:rsidRPr="004C219D">
        <w:t xml:space="preserve">Minutes </w:t>
      </w:r>
      <w:r>
        <w:t xml:space="preserve">of the Meeting of </w:t>
      </w:r>
      <w:r w:rsidRPr="004C219D">
        <w:t xml:space="preserve">Ibberton Parish </w:t>
      </w:r>
      <w:r>
        <w:t>Council on</w:t>
      </w:r>
      <w:r w:rsidR="00954EC0">
        <w:t xml:space="preserve"> </w:t>
      </w:r>
      <w:r w:rsidR="003C30CC">
        <w:t>2</w:t>
      </w:r>
      <w:r w:rsidR="003C30CC" w:rsidRPr="003C30CC">
        <w:rPr>
          <w:vertAlign w:val="superscript"/>
        </w:rPr>
        <w:t>nd</w:t>
      </w:r>
      <w:r w:rsidR="003C30CC">
        <w:t xml:space="preserve"> September</w:t>
      </w:r>
      <w:r>
        <w:t xml:space="preserve"> 202</w:t>
      </w:r>
      <w:r w:rsidR="00954EC0">
        <w:t>5</w:t>
      </w:r>
    </w:p>
    <w:p w14:paraId="3AF9CC47" w14:textId="10769651" w:rsidR="00300C51" w:rsidRDefault="003C30CC" w:rsidP="00300C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C1E9FA1" w14:textId="7F5F4382" w:rsidR="00300C51" w:rsidRPr="00AD1FBE" w:rsidRDefault="00300C51" w:rsidP="00300C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</w:t>
      </w:r>
      <w:r w:rsidRPr="00AD1FBE">
        <w:rPr>
          <w:rFonts w:ascii="Arial" w:hAnsi="Arial" w:cs="Arial"/>
          <w:sz w:val="20"/>
          <w:szCs w:val="20"/>
        </w:rPr>
        <w:t xml:space="preserve">eeting of Ibberton Parish Council was </w:t>
      </w:r>
      <w:r>
        <w:rPr>
          <w:rFonts w:ascii="Arial" w:hAnsi="Arial" w:cs="Arial"/>
          <w:sz w:val="20"/>
          <w:szCs w:val="20"/>
        </w:rPr>
        <w:t xml:space="preserve">held in the village hall </w:t>
      </w:r>
      <w:r w:rsidRPr="00AD1FBE">
        <w:rPr>
          <w:rFonts w:ascii="Arial" w:hAnsi="Arial" w:cs="Arial"/>
          <w:sz w:val="20"/>
          <w:szCs w:val="20"/>
        </w:rPr>
        <w:t xml:space="preserve">on </w:t>
      </w:r>
      <w:r w:rsidR="003C30CC">
        <w:rPr>
          <w:rFonts w:ascii="Arial" w:hAnsi="Arial" w:cs="Arial"/>
          <w:sz w:val="20"/>
          <w:szCs w:val="20"/>
        </w:rPr>
        <w:t>Tuesday 2</w:t>
      </w:r>
      <w:r w:rsidR="003C30CC" w:rsidRPr="003C30CC">
        <w:rPr>
          <w:rFonts w:ascii="Arial" w:hAnsi="Arial" w:cs="Arial"/>
          <w:sz w:val="20"/>
          <w:szCs w:val="20"/>
          <w:vertAlign w:val="superscript"/>
        </w:rPr>
        <w:t>nd</w:t>
      </w:r>
      <w:r w:rsidR="003C30CC">
        <w:rPr>
          <w:rFonts w:ascii="Arial" w:hAnsi="Arial" w:cs="Arial"/>
          <w:sz w:val="20"/>
          <w:szCs w:val="20"/>
        </w:rPr>
        <w:t xml:space="preserve"> September</w:t>
      </w:r>
      <w:r>
        <w:rPr>
          <w:rFonts w:ascii="Arial" w:hAnsi="Arial" w:cs="Arial"/>
          <w:sz w:val="20"/>
          <w:szCs w:val="20"/>
        </w:rPr>
        <w:t xml:space="preserve"> 202</w:t>
      </w:r>
      <w:r w:rsidR="00D47F2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at 7.30 pm.</w:t>
      </w:r>
    </w:p>
    <w:p w14:paraId="5DDEA32D" w14:textId="77777777" w:rsidR="00300C51" w:rsidRPr="00AD1FBE" w:rsidRDefault="00300C51" w:rsidP="003E6BEA">
      <w:pPr>
        <w:rPr>
          <w:rFonts w:ascii="Arial" w:hAnsi="Arial" w:cs="Arial"/>
          <w:b/>
          <w:sz w:val="20"/>
          <w:szCs w:val="20"/>
        </w:rPr>
      </w:pPr>
    </w:p>
    <w:p w14:paraId="4126DE53" w14:textId="77777777" w:rsidR="00300C51" w:rsidRDefault="00300C51" w:rsidP="003E6BEA">
      <w:pPr>
        <w:rPr>
          <w:rFonts w:ascii="Arial" w:hAnsi="Arial" w:cs="Arial"/>
          <w:b/>
          <w:sz w:val="20"/>
          <w:szCs w:val="20"/>
        </w:rPr>
      </w:pPr>
      <w:r w:rsidRPr="00AD1FBE">
        <w:rPr>
          <w:rFonts w:ascii="Arial" w:hAnsi="Arial" w:cs="Arial"/>
          <w:b/>
          <w:sz w:val="20"/>
          <w:szCs w:val="20"/>
        </w:rPr>
        <w:t>Present:</w:t>
      </w:r>
      <w:r w:rsidRPr="00AD1FBE">
        <w:rPr>
          <w:rFonts w:ascii="Arial" w:hAnsi="Arial" w:cs="Arial"/>
          <w:b/>
          <w:sz w:val="20"/>
          <w:szCs w:val="20"/>
        </w:rPr>
        <w:tab/>
      </w:r>
    </w:p>
    <w:p w14:paraId="0B2BDBFD" w14:textId="76EC5EFF" w:rsidR="00300C51" w:rsidRDefault="00300C51" w:rsidP="003E6BEA">
      <w:p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Councillors: </w:t>
      </w:r>
      <w:r>
        <w:rPr>
          <w:rFonts w:ascii="Arial" w:hAnsi="Arial" w:cs="Arial"/>
          <w:sz w:val="20"/>
          <w:szCs w:val="20"/>
        </w:rPr>
        <w:tab/>
        <w:t>Andy Old (AO), Gina Chamberlain (GC)</w:t>
      </w:r>
      <w:r w:rsidR="003F7BF7">
        <w:rPr>
          <w:rFonts w:ascii="Arial" w:hAnsi="Arial" w:cs="Arial"/>
          <w:sz w:val="20"/>
          <w:szCs w:val="20"/>
        </w:rPr>
        <w:t>,</w:t>
      </w:r>
      <w:r w:rsidR="003C30CC">
        <w:rPr>
          <w:rFonts w:ascii="Arial" w:hAnsi="Arial" w:cs="Arial"/>
          <w:sz w:val="20"/>
          <w:szCs w:val="20"/>
        </w:rPr>
        <w:t xml:space="preserve"> Alison Holmes</w:t>
      </w:r>
      <w:r w:rsidR="00EC39FA">
        <w:rPr>
          <w:rFonts w:ascii="Arial" w:hAnsi="Arial" w:cs="Arial"/>
          <w:sz w:val="20"/>
          <w:szCs w:val="20"/>
        </w:rPr>
        <w:t xml:space="preserve"> (AH)</w:t>
      </w:r>
      <w:r w:rsidR="003F7BF7">
        <w:rPr>
          <w:rFonts w:ascii="Arial" w:hAnsi="Arial" w:cs="Arial"/>
          <w:sz w:val="20"/>
          <w:szCs w:val="20"/>
        </w:rPr>
        <w:t xml:space="preserve"> and Rob Simpson (RS)</w:t>
      </w:r>
    </w:p>
    <w:p w14:paraId="2CA3377A" w14:textId="68F7F93C" w:rsidR="00300C51" w:rsidRPr="00AD1FBE" w:rsidRDefault="00300C51" w:rsidP="003E6B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Parish Clerk:</w:t>
      </w:r>
      <w:r>
        <w:rPr>
          <w:rFonts w:ascii="Arial" w:hAnsi="Arial" w:cs="Arial"/>
          <w:sz w:val="20"/>
          <w:szCs w:val="20"/>
        </w:rPr>
        <w:tab/>
      </w:r>
      <w:r w:rsidR="00954EC0">
        <w:rPr>
          <w:rFonts w:ascii="Arial" w:hAnsi="Arial" w:cs="Arial"/>
          <w:sz w:val="20"/>
          <w:szCs w:val="20"/>
        </w:rPr>
        <w:t>N</w:t>
      </w:r>
      <w:r w:rsidR="003F7BF7">
        <w:rPr>
          <w:rFonts w:ascii="Arial" w:hAnsi="Arial" w:cs="Arial"/>
          <w:sz w:val="20"/>
          <w:szCs w:val="20"/>
        </w:rPr>
        <w:t>igel</w:t>
      </w:r>
      <w:r w:rsidR="00954EC0">
        <w:rPr>
          <w:rFonts w:ascii="Arial" w:hAnsi="Arial" w:cs="Arial"/>
          <w:sz w:val="20"/>
          <w:szCs w:val="20"/>
        </w:rPr>
        <w:t xml:space="preserve"> Alexander</w:t>
      </w:r>
      <w:r>
        <w:rPr>
          <w:rFonts w:ascii="Arial" w:hAnsi="Arial" w:cs="Arial"/>
          <w:sz w:val="20"/>
          <w:szCs w:val="20"/>
        </w:rPr>
        <w:t xml:space="preserve"> (</w:t>
      </w:r>
      <w:r w:rsidR="00954EC0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)</w:t>
      </w:r>
    </w:p>
    <w:p w14:paraId="0C941080" w14:textId="5966BA9E" w:rsidR="00300C51" w:rsidRPr="00AE7599" w:rsidRDefault="00300C51" w:rsidP="00300C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C30CC">
        <w:rPr>
          <w:rFonts w:ascii="Arial" w:hAnsi="Arial" w:cs="Arial"/>
          <w:sz w:val="20"/>
          <w:szCs w:val="20"/>
        </w:rPr>
        <w:t>0</w:t>
      </w:r>
    </w:p>
    <w:p w14:paraId="1343E323" w14:textId="5B7210F5" w:rsidR="00300C51" w:rsidRPr="00355A15" w:rsidRDefault="00954EC0" w:rsidP="00300C51">
      <w:pPr>
        <w:spacing w:before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300C51">
        <w:rPr>
          <w:rFonts w:ascii="Arial" w:hAnsi="Arial" w:cs="Arial"/>
          <w:b/>
          <w:bCs/>
          <w:sz w:val="20"/>
          <w:szCs w:val="20"/>
        </w:rPr>
        <w:t xml:space="preserve">. </w:t>
      </w:r>
      <w:r w:rsidR="00EC39FA">
        <w:rPr>
          <w:rFonts w:ascii="Arial" w:hAnsi="Arial" w:cs="Arial"/>
          <w:b/>
          <w:bCs/>
          <w:sz w:val="20"/>
          <w:szCs w:val="20"/>
        </w:rPr>
        <w:t>T</w:t>
      </w:r>
      <w:r w:rsidR="00300C51" w:rsidRPr="004570AB">
        <w:rPr>
          <w:rFonts w:ascii="Arial" w:hAnsi="Arial" w:cs="Arial"/>
          <w:b/>
          <w:bCs/>
          <w:sz w:val="20"/>
          <w:szCs w:val="20"/>
        </w:rPr>
        <w:t>o note any apologies for absenc</w:t>
      </w:r>
      <w:r w:rsidR="00300C51">
        <w:rPr>
          <w:rFonts w:ascii="Arial" w:hAnsi="Arial" w:cs="Arial"/>
          <w:b/>
          <w:bCs/>
          <w:sz w:val="20"/>
          <w:szCs w:val="20"/>
        </w:rPr>
        <w:t xml:space="preserve">e: </w:t>
      </w:r>
      <w:r w:rsidR="003C30CC">
        <w:rPr>
          <w:rFonts w:ascii="Arial" w:hAnsi="Arial" w:cs="Arial"/>
          <w:sz w:val="20"/>
          <w:szCs w:val="20"/>
        </w:rPr>
        <w:t>Michael Fraser (MF) and Cllr. Steve Mercer</w:t>
      </w:r>
      <w:r w:rsidR="00A11C74">
        <w:rPr>
          <w:rFonts w:ascii="Arial" w:hAnsi="Arial" w:cs="Arial"/>
          <w:sz w:val="20"/>
          <w:szCs w:val="20"/>
        </w:rPr>
        <w:t xml:space="preserve"> (SM)</w:t>
      </w:r>
    </w:p>
    <w:p w14:paraId="2E6D6ED0" w14:textId="0462A0EF" w:rsidR="00300C51" w:rsidRPr="004570AB" w:rsidRDefault="003C30CC" w:rsidP="003E6BEA">
      <w:pPr>
        <w:spacing w:before="120"/>
        <w:ind w:right="-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300C51" w:rsidRPr="004570AB">
        <w:rPr>
          <w:rFonts w:ascii="Arial" w:hAnsi="Arial" w:cs="Arial"/>
          <w:b/>
          <w:bCs/>
          <w:sz w:val="20"/>
          <w:szCs w:val="20"/>
        </w:rPr>
        <w:t>. To approve the minutes</w:t>
      </w:r>
      <w:r w:rsidR="00300C51">
        <w:rPr>
          <w:rFonts w:ascii="Arial" w:hAnsi="Arial" w:cs="Arial"/>
          <w:b/>
          <w:bCs/>
          <w:sz w:val="20"/>
          <w:szCs w:val="20"/>
        </w:rPr>
        <w:t xml:space="preserve"> of the </w:t>
      </w:r>
      <w:r>
        <w:rPr>
          <w:rFonts w:ascii="Arial" w:hAnsi="Arial" w:cs="Arial"/>
          <w:b/>
          <w:bCs/>
          <w:sz w:val="20"/>
          <w:szCs w:val="20"/>
        </w:rPr>
        <w:t xml:space="preserve">Annual Meeting of Ibberton </w:t>
      </w:r>
      <w:r w:rsidR="00300C51" w:rsidRPr="004570AB">
        <w:rPr>
          <w:rFonts w:ascii="Arial" w:hAnsi="Arial" w:cs="Arial"/>
          <w:b/>
          <w:bCs/>
          <w:sz w:val="20"/>
          <w:szCs w:val="20"/>
        </w:rPr>
        <w:t>Parish Council held on</w:t>
      </w:r>
      <w:r w:rsidR="00300C51">
        <w:rPr>
          <w:rFonts w:ascii="Arial" w:hAnsi="Arial" w:cs="Arial"/>
          <w:b/>
          <w:bCs/>
          <w:sz w:val="20"/>
          <w:szCs w:val="20"/>
        </w:rPr>
        <w:t xml:space="preserve"> 1</w:t>
      </w:r>
      <w:r>
        <w:rPr>
          <w:rFonts w:ascii="Arial" w:hAnsi="Arial" w:cs="Arial"/>
          <w:b/>
          <w:bCs/>
          <w:sz w:val="20"/>
          <w:szCs w:val="20"/>
        </w:rPr>
        <w:t>9</w:t>
      </w:r>
      <w:r w:rsidR="00300C51" w:rsidRPr="00565465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300C51">
        <w:rPr>
          <w:rFonts w:ascii="Arial" w:hAnsi="Arial" w:cs="Arial"/>
          <w:b/>
          <w:bCs/>
          <w:sz w:val="20"/>
          <w:szCs w:val="20"/>
        </w:rPr>
        <w:t xml:space="preserve"> Ma</w:t>
      </w:r>
      <w:r>
        <w:rPr>
          <w:rFonts w:ascii="Arial" w:hAnsi="Arial" w:cs="Arial"/>
          <w:b/>
          <w:bCs/>
          <w:sz w:val="20"/>
          <w:szCs w:val="20"/>
        </w:rPr>
        <w:t>y</w:t>
      </w:r>
      <w:r w:rsidR="00300C51">
        <w:rPr>
          <w:rFonts w:ascii="Arial" w:hAnsi="Arial" w:cs="Arial"/>
          <w:b/>
          <w:bCs/>
          <w:sz w:val="20"/>
          <w:szCs w:val="20"/>
        </w:rPr>
        <w:t xml:space="preserve"> </w:t>
      </w:r>
      <w:r w:rsidR="003E6BEA">
        <w:rPr>
          <w:rFonts w:ascii="Arial" w:hAnsi="Arial" w:cs="Arial"/>
          <w:b/>
          <w:bCs/>
          <w:sz w:val="20"/>
          <w:szCs w:val="20"/>
        </w:rPr>
        <w:t>2025:</w:t>
      </w:r>
      <w:r w:rsidR="00EC39FA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9E4FBB">
        <w:rPr>
          <w:rFonts w:ascii="Arial" w:hAnsi="Arial" w:cs="Arial"/>
          <w:b/>
          <w:bCs/>
          <w:sz w:val="20"/>
          <w:szCs w:val="20"/>
        </w:rPr>
        <w:t xml:space="preserve">   </w:t>
      </w:r>
      <w:r w:rsidR="003E6BEA">
        <w:rPr>
          <w:rFonts w:ascii="Arial" w:hAnsi="Arial" w:cs="Arial"/>
          <w:b/>
          <w:bCs/>
          <w:sz w:val="20"/>
          <w:szCs w:val="20"/>
        </w:rPr>
        <w:t xml:space="preserve"> </w:t>
      </w:r>
      <w:r w:rsidR="009E4FBB">
        <w:rPr>
          <w:rFonts w:ascii="Arial" w:hAnsi="Arial" w:cs="Arial"/>
          <w:b/>
          <w:bCs/>
          <w:sz w:val="20"/>
          <w:szCs w:val="20"/>
        </w:rPr>
        <w:t xml:space="preserve">  </w:t>
      </w:r>
      <w:r w:rsidR="00300C51">
        <w:rPr>
          <w:rFonts w:ascii="Arial" w:hAnsi="Arial" w:cs="Arial"/>
          <w:sz w:val="20"/>
          <w:szCs w:val="20"/>
        </w:rPr>
        <w:t>The Minutes of the Meeting were approved.</w:t>
      </w:r>
    </w:p>
    <w:p w14:paraId="3740E4C6" w14:textId="6331CC89" w:rsidR="00300C51" w:rsidRDefault="003C30CC" w:rsidP="003E6BEA">
      <w:pPr>
        <w:spacing w:before="2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300C51" w:rsidRPr="004570AB">
        <w:rPr>
          <w:rFonts w:ascii="Arial" w:hAnsi="Arial" w:cs="Arial"/>
          <w:b/>
          <w:bCs/>
          <w:sz w:val="20"/>
          <w:szCs w:val="20"/>
        </w:rPr>
        <w:t>. Matters arising/action points from previous minutes:</w:t>
      </w:r>
    </w:p>
    <w:p w14:paraId="4F955725" w14:textId="6A521D0C" w:rsidR="00300C51" w:rsidRPr="002D6001" w:rsidRDefault="00954EC0" w:rsidP="00300C51">
      <w:pPr>
        <w:pStyle w:val="ListParagraph"/>
        <w:numPr>
          <w:ilvl w:val="0"/>
          <w:numId w:val="1"/>
        </w:numPr>
        <w:spacing w:before="24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Increase in website hosting fee</w:t>
      </w:r>
      <w:r w:rsidR="00300C51">
        <w:rPr>
          <w:rFonts w:ascii="Arial" w:hAnsi="Arial" w:cs="Arial"/>
          <w:b/>
          <w:bCs/>
          <w:sz w:val="20"/>
          <w:szCs w:val="20"/>
        </w:rPr>
        <w:t xml:space="preserve">: </w:t>
      </w:r>
      <w:r w:rsidR="003C30CC">
        <w:rPr>
          <w:rFonts w:ascii="Arial" w:hAnsi="Arial" w:cs="Arial"/>
          <w:sz w:val="20"/>
          <w:szCs w:val="20"/>
        </w:rPr>
        <w:t xml:space="preserve">It was not possible to switch to the website hosting provider </w:t>
      </w:r>
      <w:r w:rsidR="002A7303">
        <w:rPr>
          <w:rFonts w:ascii="Arial" w:hAnsi="Arial" w:cs="Arial"/>
          <w:sz w:val="20"/>
          <w:szCs w:val="20"/>
        </w:rPr>
        <w:t xml:space="preserve">suggested </w:t>
      </w:r>
      <w:r w:rsidR="00A11C74">
        <w:rPr>
          <w:rFonts w:ascii="Arial" w:hAnsi="Arial" w:cs="Arial"/>
          <w:sz w:val="20"/>
          <w:szCs w:val="20"/>
        </w:rPr>
        <w:t xml:space="preserve">at the previous meeting </w:t>
      </w:r>
      <w:r w:rsidR="003C30CC">
        <w:rPr>
          <w:rFonts w:ascii="Arial" w:hAnsi="Arial" w:cs="Arial"/>
          <w:sz w:val="20"/>
          <w:szCs w:val="20"/>
        </w:rPr>
        <w:t xml:space="preserve">so the contract was renewed with the current provider. </w:t>
      </w:r>
      <w:r w:rsidR="002A7303">
        <w:rPr>
          <w:rFonts w:ascii="Arial" w:hAnsi="Arial" w:cs="Arial"/>
          <w:sz w:val="20"/>
          <w:szCs w:val="20"/>
        </w:rPr>
        <w:t>New requirements to comply with the Annual Governance and Accountability Return (AGAR) for 2025/26 require Councils to use “official council owned domains (</w:t>
      </w:r>
      <w:proofErr w:type="spellStart"/>
      <w:r w:rsidR="002A7303">
        <w:rPr>
          <w:rFonts w:ascii="Arial" w:hAnsi="Arial" w:cs="Arial"/>
          <w:sz w:val="20"/>
          <w:szCs w:val="20"/>
        </w:rPr>
        <w:t>eg.</w:t>
      </w:r>
      <w:proofErr w:type="spellEnd"/>
      <w:r w:rsidR="002A7303">
        <w:rPr>
          <w:rFonts w:ascii="Arial" w:hAnsi="Arial" w:cs="Arial"/>
          <w:sz w:val="20"/>
          <w:szCs w:val="20"/>
        </w:rPr>
        <w:t xml:space="preserve"> .gov.uk or .org.uk) (NA) to investigate.</w:t>
      </w:r>
    </w:p>
    <w:p w14:paraId="657D4A39" w14:textId="63EC0158" w:rsidR="002D6001" w:rsidRPr="00EC39FA" w:rsidRDefault="002D6001" w:rsidP="00300C51">
      <w:pPr>
        <w:pStyle w:val="ListParagraph"/>
        <w:numPr>
          <w:ilvl w:val="0"/>
          <w:numId w:val="1"/>
        </w:numPr>
        <w:spacing w:before="240" w:line="276" w:lineRule="auto"/>
        <w:rPr>
          <w:rFonts w:ascii="Arial" w:hAnsi="Arial" w:cs="Arial"/>
          <w:b/>
          <w:bCs/>
          <w:sz w:val="20"/>
          <w:szCs w:val="20"/>
        </w:rPr>
      </w:pPr>
      <w:r w:rsidRPr="002D6001">
        <w:rPr>
          <w:rFonts w:ascii="Arial" w:hAnsi="Arial" w:cs="Arial"/>
          <w:b/>
          <w:bCs/>
          <w:sz w:val="20"/>
          <w:szCs w:val="20"/>
        </w:rPr>
        <w:t xml:space="preserve">Road Sweeping: </w:t>
      </w:r>
      <w:r w:rsidRPr="002D6001">
        <w:rPr>
          <w:rFonts w:ascii="Arial" w:hAnsi="Arial" w:cs="Arial"/>
          <w:sz w:val="20"/>
          <w:szCs w:val="20"/>
        </w:rPr>
        <w:t>Some road sweeping has been undertaken</w:t>
      </w:r>
      <w:r w:rsidR="000E66AF">
        <w:rPr>
          <w:rFonts w:ascii="Arial" w:hAnsi="Arial" w:cs="Arial"/>
          <w:sz w:val="20"/>
          <w:szCs w:val="20"/>
        </w:rPr>
        <w:t xml:space="preserve"> but t</w:t>
      </w:r>
      <w:r w:rsidRPr="002D6001">
        <w:rPr>
          <w:rFonts w:ascii="Arial" w:hAnsi="Arial" w:cs="Arial"/>
          <w:sz w:val="20"/>
          <w:szCs w:val="20"/>
        </w:rPr>
        <w:t xml:space="preserve">he road out of Upper </w:t>
      </w:r>
      <w:proofErr w:type="spellStart"/>
      <w:r w:rsidRPr="002D6001">
        <w:rPr>
          <w:rFonts w:ascii="Arial" w:hAnsi="Arial" w:cs="Arial"/>
          <w:sz w:val="20"/>
          <w:szCs w:val="20"/>
        </w:rPr>
        <w:t>Belchawell</w:t>
      </w:r>
      <w:proofErr w:type="spellEnd"/>
      <w:r w:rsidRPr="002D6001">
        <w:rPr>
          <w:rFonts w:ascii="Arial" w:hAnsi="Arial" w:cs="Arial"/>
          <w:sz w:val="20"/>
          <w:szCs w:val="20"/>
        </w:rPr>
        <w:t xml:space="preserve"> is still a problem area. (NA) </w:t>
      </w:r>
      <w:r w:rsidR="00EC39FA">
        <w:rPr>
          <w:rFonts w:ascii="Arial" w:hAnsi="Arial" w:cs="Arial"/>
          <w:sz w:val="20"/>
          <w:szCs w:val="20"/>
        </w:rPr>
        <w:t xml:space="preserve">awaiting response from </w:t>
      </w:r>
      <w:r w:rsidRPr="002D6001">
        <w:rPr>
          <w:rFonts w:ascii="Arial" w:hAnsi="Arial" w:cs="Arial"/>
          <w:sz w:val="20"/>
          <w:szCs w:val="20"/>
        </w:rPr>
        <w:t xml:space="preserve">the Okeford Fitzpaine Clerk. </w:t>
      </w:r>
    </w:p>
    <w:p w14:paraId="6B8EA447" w14:textId="5A28BA9E" w:rsidR="00EC39FA" w:rsidRDefault="00EC39FA" w:rsidP="00300C51">
      <w:pPr>
        <w:pStyle w:val="ListParagraph"/>
        <w:numPr>
          <w:ilvl w:val="0"/>
          <w:numId w:val="1"/>
        </w:numPr>
        <w:spacing w:before="24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Issue of Right of Way being blocked: </w:t>
      </w:r>
      <w:r>
        <w:rPr>
          <w:rFonts w:ascii="Arial" w:hAnsi="Arial" w:cs="Arial"/>
          <w:sz w:val="20"/>
          <w:szCs w:val="20"/>
        </w:rPr>
        <w:t>Resolved by the landowner.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6E01BE6" w14:textId="77777777" w:rsidR="00EC39FA" w:rsidRPr="00EC39FA" w:rsidRDefault="00EC39FA" w:rsidP="00300C51">
      <w:pPr>
        <w:pStyle w:val="ListParagraph"/>
        <w:numPr>
          <w:ilvl w:val="0"/>
          <w:numId w:val="1"/>
        </w:numPr>
        <w:spacing w:before="24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Repair of bench situated by the Cross: </w:t>
      </w:r>
      <w:r>
        <w:rPr>
          <w:rFonts w:ascii="Arial" w:hAnsi="Arial" w:cs="Arial"/>
          <w:sz w:val="20"/>
          <w:szCs w:val="20"/>
        </w:rPr>
        <w:t xml:space="preserve">Bench fully repaired by (AO) </w:t>
      </w:r>
    </w:p>
    <w:p w14:paraId="08A4DD50" w14:textId="53BB718A" w:rsidR="00EC39FA" w:rsidRPr="009E4FBB" w:rsidRDefault="00EC39FA" w:rsidP="00EC39FA">
      <w:pPr>
        <w:spacing w:before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4. To confirm the appointment of Alison Holmes as a Parish Councillor of the Ibberton Parish Council.</w:t>
      </w:r>
      <w:r w:rsidR="009E4FBB">
        <w:rPr>
          <w:rFonts w:ascii="Arial" w:hAnsi="Arial" w:cs="Arial"/>
          <w:b/>
          <w:bCs/>
          <w:sz w:val="20"/>
          <w:szCs w:val="20"/>
        </w:rPr>
        <w:t xml:space="preserve"> </w:t>
      </w:r>
      <w:r w:rsidR="009E4FBB">
        <w:rPr>
          <w:rFonts w:ascii="Arial" w:hAnsi="Arial" w:cs="Arial"/>
          <w:sz w:val="20"/>
          <w:szCs w:val="20"/>
        </w:rPr>
        <w:t>Those present confirmed their acceptance to Alison Holmes being appointed as a Parish Councillor of the Ibberton Parish Council and (AH) signed the Declaration of Acceptance of Office which was witnessed by the Chairman (AO). (AO) welcomed Alison to the Parish Council.</w:t>
      </w:r>
    </w:p>
    <w:p w14:paraId="2F3D10C4" w14:textId="2156FFC6" w:rsidR="00300C51" w:rsidRDefault="009E4FBB" w:rsidP="00300C51">
      <w:pPr>
        <w:spacing w:before="240" w:after="2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300C51" w:rsidRPr="004570AB">
        <w:rPr>
          <w:rFonts w:ascii="Arial" w:hAnsi="Arial" w:cs="Arial"/>
          <w:b/>
          <w:bCs/>
          <w:sz w:val="20"/>
          <w:szCs w:val="20"/>
        </w:rPr>
        <w:t>. Finance matters</w:t>
      </w:r>
      <w:r w:rsidR="00300C51">
        <w:rPr>
          <w:rFonts w:ascii="Arial" w:hAnsi="Arial" w:cs="Arial"/>
          <w:b/>
          <w:bCs/>
          <w:sz w:val="20"/>
          <w:szCs w:val="20"/>
        </w:rPr>
        <w:t>:</w:t>
      </w:r>
    </w:p>
    <w:p w14:paraId="6C48E028" w14:textId="09C83336" w:rsidR="009E4FBB" w:rsidRDefault="009E4FBB" w:rsidP="00300C51">
      <w:pPr>
        <w:pStyle w:val="ListParagraph"/>
        <w:numPr>
          <w:ilvl w:val="0"/>
          <w:numId w:val="2"/>
        </w:numPr>
        <w:spacing w:before="240" w:after="2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To approve new bank account signatory: </w:t>
      </w:r>
      <w:r w:rsidR="00B2548D">
        <w:rPr>
          <w:rFonts w:ascii="Arial" w:hAnsi="Arial" w:cs="Arial"/>
          <w:b/>
          <w:bCs/>
          <w:sz w:val="20"/>
          <w:szCs w:val="20"/>
        </w:rPr>
        <w:t>I</w:t>
      </w:r>
      <w:r w:rsidR="00B2548D">
        <w:rPr>
          <w:rFonts w:ascii="Arial" w:hAnsi="Arial" w:cs="Arial"/>
          <w:sz w:val="20"/>
          <w:szCs w:val="20"/>
        </w:rPr>
        <w:t>t was approved that (AH) would be accepted as a signatory to the Councils bank account with access to Internet Banking Services. It was further approved that (AO) would have his authority increased to a full signatory and would also have access to Internet Banking Services. All redundant signatories will now be removed.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43FB142" w14:textId="219F0328" w:rsidR="00300C51" w:rsidRPr="00361299" w:rsidRDefault="00300C51" w:rsidP="00300C51">
      <w:pPr>
        <w:pStyle w:val="ListParagraph"/>
        <w:numPr>
          <w:ilvl w:val="0"/>
          <w:numId w:val="2"/>
        </w:numPr>
        <w:spacing w:before="240" w:after="240"/>
        <w:rPr>
          <w:rFonts w:ascii="Arial" w:hAnsi="Arial" w:cs="Arial"/>
          <w:b/>
          <w:bCs/>
          <w:sz w:val="20"/>
          <w:szCs w:val="20"/>
        </w:rPr>
      </w:pPr>
      <w:r w:rsidRPr="00361299">
        <w:rPr>
          <w:rFonts w:ascii="Arial" w:hAnsi="Arial" w:cs="Arial"/>
          <w:b/>
          <w:bCs/>
          <w:sz w:val="20"/>
          <w:szCs w:val="20"/>
        </w:rPr>
        <w:t xml:space="preserve">payments for approval: </w:t>
      </w:r>
      <w:r w:rsidRPr="00361299">
        <w:rPr>
          <w:rFonts w:ascii="Arial" w:hAnsi="Arial" w:cs="Arial"/>
          <w:sz w:val="20"/>
          <w:szCs w:val="20"/>
        </w:rPr>
        <w:t>The following payments were approved: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65"/>
        <w:gridCol w:w="1108"/>
        <w:gridCol w:w="1268"/>
        <w:gridCol w:w="1112"/>
        <w:gridCol w:w="1206"/>
        <w:gridCol w:w="1200"/>
        <w:gridCol w:w="1367"/>
      </w:tblGrid>
      <w:tr w:rsidR="000E66AF" w:rsidRPr="00775C69" w14:paraId="3EAAB516" w14:textId="77777777" w:rsidTr="00FF0280">
        <w:trPr>
          <w:trHeight w:val="288"/>
        </w:trPr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0665" w14:textId="77777777" w:rsidR="00300C51" w:rsidRPr="00775C69" w:rsidRDefault="00300C51" w:rsidP="003629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Payment method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22D3A" w14:textId="77777777" w:rsidR="00300C51" w:rsidRPr="00775C69" w:rsidRDefault="00300C51" w:rsidP="003629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DF06D" w14:textId="77777777" w:rsidR="00300C51" w:rsidRPr="00775C69" w:rsidRDefault="00300C51" w:rsidP="003629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5C69">
              <w:rPr>
                <w:rFonts w:ascii="Calibri" w:eastAsia="Times New Roman" w:hAnsi="Calibri" w:cs="Calibri"/>
                <w:color w:val="000000"/>
                <w:lang w:eastAsia="en-GB"/>
              </w:rPr>
              <w:t>Payee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D3DB7" w14:textId="77777777" w:rsidR="00300C51" w:rsidRPr="00775C69" w:rsidRDefault="00300C51" w:rsidP="003629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5978E" w14:textId="77777777" w:rsidR="00300C51" w:rsidRPr="00775C69" w:rsidRDefault="00300C51" w:rsidP="003629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5C69">
              <w:rPr>
                <w:rFonts w:ascii="Calibri" w:eastAsia="Times New Roman" w:hAnsi="Calibri" w:cs="Calibri"/>
                <w:color w:val="000000"/>
                <w:lang w:eastAsia="en-GB"/>
              </w:rPr>
              <w:t>Purpose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40903" w14:textId="77777777" w:rsidR="00300C51" w:rsidRPr="00775C69" w:rsidRDefault="00300C51" w:rsidP="003629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A9D8B" w14:textId="77777777" w:rsidR="00300C51" w:rsidRPr="00775C69" w:rsidRDefault="00300C51" w:rsidP="003629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5C69">
              <w:rPr>
                <w:rFonts w:ascii="Calibri" w:eastAsia="Times New Roman" w:hAnsi="Calibri" w:cs="Calibri"/>
                <w:color w:val="000000"/>
                <w:lang w:eastAsia="en-GB"/>
              </w:rPr>
              <w:t>Amount</w:t>
            </w:r>
          </w:p>
        </w:tc>
      </w:tr>
      <w:tr w:rsidR="000E66AF" w:rsidRPr="00775C69" w14:paraId="14AAC4B0" w14:textId="77777777" w:rsidTr="00FF0280">
        <w:trPr>
          <w:trHeight w:val="288"/>
        </w:trPr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4F367" w14:textId="20674BE7" w:rsidR="00300C51" w:rsidRPr="00775C69" w:rsidRDefault="000E66AF" w:rsidP="0036292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Bank Charge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AB0ED" w14:textId="77777777" w:rsidR="00300C51" w:rsidRPr="00775C69" w:rsidRDefault="00300C51" w:rsidP="0036292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24D56" w14:textId="73FD282F" w:rsidR="00300C51" w:rsidRPr="00775C69" w:rsidRDefault="000E66AF" w:rsidP="003629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Lloyds Bank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DC2E5" w14:textId="77777777" w:rsidR="00300C51" w:rsidRPr="00775C69" w:rsidRDefault="00300C51" w:rsidP="003629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A9F2F" w14:textId="50285D09" w:rsidR="00300C51" w:rsidRPr="00775C69" w:rsidRDefault="000E66AF" w:rsidP="003629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Service Charge</w:t>
            </w:r>
            <w:r w:rsidR="00B2548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(May)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9BFAB" w14:textId="0BE6BA98" w:rsidR="00300C51" w:rsidRPr="00775C69" w:rsidRDefault="00300C51" w:rsidP="0036292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5C69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0E66AF">
              <w:rPr>
                <w:rFonts w:ascii="Calibri" w:eastAsia="Times New Roman" w:hAnsi="Calibri" w:cs="Calibri"/>
                <w:color w:val="000000"/>
                <w:lang w:eastAsia="en-GB"/>
              </w:rPr>
              <w:t>4.75</w:t>
            </w:r>
          </w:p>
        </w:tc>
      </w:tr>
      <w:tr w:rsidR="000E66AF" w:rsidRPr="00775C69" w14:paraId="2DEE3405" w14:textId="77777777" w:rsidTr="00FF0280">
        <w:trPr>
          <w:trHeight w:val="288"/>
        </w:trPr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844F0" w14:textId="77777777" w:rsidR="00300C51" w:rsidRPr="00775C69" w:rsidRDefault="00300C51" w:rsidP="0036292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BACS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9A372" w14:textId="77777777" w:rsidR="00300C51" w:rsidRPr="00775C69" w:rsidRDefault="00300C51" w:rsidP="0036292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03AC9" w14:textId="47FED2B8" w:rsidR="00300C51" w:rsidRPr="00775C69" w:rsidRDefault="00300C51" w:rsidP="003629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5C69">
              <w:rPr>
                <w:rFonts w:ascii="Calibri" w:eastAsia="Times New Roman" w:hAnsi="Calibri" w:cs="Calibri"/>
                <w:color w:val="000000"/>
                <w:lang w:eastAsia="en-GB"/>
              </w:rPr>
              <w:t>I,B &amp;W</w:t>
            </w:r>
            <w:r w:rsidR="00FF028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V</w:t>
            </w:r>
            <w:r w:rsidRPr="00775C6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illage </w:t>
            </w:r>
            <w:r w:rsidR="00FF0280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  <w:r w:rsidRPr="00775C69">
              <w:rPr>
                <w:rFonts w:ascii="Calibri" w:eastAsia="Times New Roman" w:hAnsi="Calibri" w:cs="Calibri"/>
                <w:color w:val="000000"/>
                <w:lang w:eastAsia="en-GB"/>
              </w:rPr>
              <w:t>all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BF9DB" w14:textId="0545D150" w:rsidR="00300C51" w:rsidRPr="00775C69" w:rsidRDefault="00300C51" w:rsidP="003629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5C69">
              <w:rPr>
                <w:rFonts w:ascii="Calibri" w:eastAsia="Times New Roman" w:hAnsi="Calibri" w:cs="Calibri"/>
                <w:color w:val="000000"/>
                <w:lang w:eastAsia="en-GB"/>
              </w:rPr>
              <w:t>Hire</w:t>
            </w:r>
            <w:r w:rsidR="00FF028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(May)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CE8F3" w14:textId="77777777" w:rsidR="00300C51" w:rsidRPr="00775C69" w:rsidRDefault="00300C51" w:rsidP="003629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19A6E" w14:textId="2D222D72" w:rsidR="00300C51" w:rsidRPr="00775C69" w:rsidRDefault="00300C51" w:rsidP="0036292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5C69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B2548D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  <w:r w:rsidRPr="00775C69">
              <w:rPr>
                <w:rFonts w:ascii="Calibri" w:eastAsia="Times New Roman" w:hAnsi="Calibri" w:cs="Calibri"/>
                <w:color w:val="000000"/>
                <w:lang w:eastAsia="en-GB"/>
              </w:rPr>
              <w:t>.00</w:t>
            </w:r>
          </w:p>
        </w:tc>
      </w:tr>
      <w:tr w:rsidR="000E66AF" w:rsidRPr="00775C69" w14:paraId="03E28F7F" w14:textId="77777777" w:rsidTr="00FF0280">
        <w:trPr>
          <w:trHeight w:val="288"/>
        </w:trPr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2E9BA" w14:textId="77777777" w:rsidR="00300C51" w:rsidRPr="00775C69" w:rsidRDefault="00300C51" w:rsidP="0036292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BACS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D3E57" w14:textId="77777777" w:rsidR="00300C51" w:rsidRPr="00775C69" w:rsidRDefault="00300C51" w:rsidP="0036292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D6B2C" w14:textId="16DD8B47" w:rsidR="00300C51" w:rsidRPr="00775C69" w:rsidRDefault="00B2548D" w:rsidP="003629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Community First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5291D" w14:textId="0B44B0B5" w:rsidR="00300C51" w:rsidRPr="00775C69" w:rsidRDefault="00B2548D" w:rsidP="003629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Insurance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704DD" w14:textId="04E634EB" w:rsidR="00300C51" w:rsidRPr="00775C69" w:rsidRDefault="00300C51" w:rsidP="0036292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B2548D">
              <w:rPr>
                <w:rFonts w:ascii="Calibri" w:eastAsia="Times New Roman" w:hAnsi="Calibri" w:cs="Calibri"/>
                <w:color w:val="000000"/>
                <w:lang w:eastAsia="en-GB"/>
              </w:rPr>
              <w:t>155.22</w:t>
            </w:r>
          </w:p>
        </w:tc>
      </w:tr>
      <w:tr w:rsidR="00B2548D" w:rsidRPr="00775C69" w14:paraId="2EE59070" w14:textId="77777777" w:rsidTr="00FF0280">
        <w:trPr>
          <w:trHeight w:val="288"/>
        </w:trPr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BB250E" w14:textId="2B59FABF" w:rsidR="00B2548D" w:rsidRDefault="00B2548D" w:rsidP="00FF028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Bank Charge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8976A9" w14:textId="77777777" w:rsidR="00B2548D" w:rsidRPr="00775C69" w:rsidRDefault="00B2548D" w:rsidP="0036292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99EC70" w14:textId="7EA5A1FB" w:rsidR="00B2548D" w:rsidRDefault="00FF0280" w:rsidP="003629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Lloyds Bank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0639F" w14:textId="20658785" w:rsidR="00B2548D" w:rsidRDefault="00FF0280" w:rsidP="003629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Service Charge (June)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CAA9EC" w14:textId="5EF762A8" w:rsidR="00B2548D" w:rsidRDefault="00FF0280" w:rsidP="0036292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£4.75</w:t>
            </w:r>
          </w:p>
        </w:tc>
      </w:tr>
      <w:tr w:rsidR="00B2548D" w:rsidRPr="00775C69" w14:paraId="68B70973" w14:textId="77777777" w:rsidTr="00FF0280">
        <w:trPr>
          <w:trHeight w:val="288"/>
        </w:trPr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E2DA07" w14:textId="7AB7BEF5" w:rsidR="00B2548D" w:rsidRDefault="00FF0280" w:rsidP="0036292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BACS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30102" w14:textId="77777777" w:rsidR="00B2548D" w:rsidRPr="00775C69" w:rsidRDefault="00B2548D" w:rsidP="0036292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A619F" w14:textId="65F1AFC3" w:rsidR="00B2548D" w:rsidRDefault="00FF0280" w:rsidP="003629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Chess ICT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DFFDEF" w14:textId="62E5BF71" w:rsidR="00B2548D" w:rsidRDefault="00FF0280" w:rsidP="003629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Annual Web Hosting fee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D8653" w14:textId="4AA5AFC6" w:rsidR="00B2548D" w:rsidRDefault="00FF0280" w:rsidP="0036292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£98.14</w:t>
            </w:r>
          </w:p>
        </w:tc>
      </w:tr>
      <w:tr w:rsidR="00B2548D" w:rsidRPr="00775C69" w14:paraId="424EEDEE" w14:textId="77777777" w:rsidTr="00FF0280">
        <w:trPr>
          <w:trHeight w:val="288"/>
        </w:trPr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F25ED0" w14:textId="2AA37CF6" w:rsidR="00B2548D" w:rsidRDefault="00FF0280" w:rsidP="0036292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Bank Charge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2C29D3" w14:textId="77777777" w:rsidR="00B2548D" w:rsidRPr="00775C69" w:rsidRDefault="00B2548D" w:rsidP="0036292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4D82CF" w14:textId="54ED6AA3" w:rsidR="00B2548D" w:rsidRDefault="00FF0280" w:rsidP="003629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Lloyds Bank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FFC1E" w14:textId="775281D8" w:rsidR="00B2548D" w:rsidRDefault="00FF0280" w:rsidP="003629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Service Charge  (July)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97D83A" w14:textId="1A2B9151" w:rsidR="00B2548D" w:rsidRDefault="00FF0280" w:rsidP="0036292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£4.75</w:t>
            </w:r>
          </w:p>
        </w:tc>
      </w:tr>
      <w:tr w:rsidR="00B2548D" w:rsidRPr="00775C69" w14:paraId="684275E6" w14:textId="77777777" w:rsidTr="00FF0280">
        <w:trPr>
          <w:trHeight w:val="288"/>
        </w:trPr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A9A87" w14:textId="47F4C726" w:rsidR="00B2548D" w:rsidRDefault="00FF0280" w:rsidP="0036292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BACS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D7096E" w14:textId="77777777" w:rsidR="00B2548D" w:rsidRPr="00775C69" w:rsidRDefault="00B2548D" w:rsidP="0036292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19961" w14:textId="714A74B7" w:rsidR="00B2548D" w:rsidRDefault="00FF0280" w:rsidP="003629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Coles Castings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B5DE99" w14:textId="0C5B05B0" w:rsidR="00B2548D" w:rsidRDefault="00FF0280" w:rsidP="003629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Finger Post Repair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994E9" w14:textId="41D373CA" w:rsidR="00B2548D" w:rsidRDefault="00FF0280" w:rsidP="0036292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£15.00</w:t>
            </w:r>
          </w:p>
        </w:tc>
      </w:tr>
      <w:tr w:rsidR="00FF0280" w:rsidRPr="00775C69" w14:paraId="0198606F" w14:textId="77777777" w:rsidTr="00FF0280">
        <w:trPr>
          <w:trHeight w:val="288"/>
        </w:trPr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4C776" w14:textId="0C41B126" w:rsidR="00FF0280" w:rsidRDefault="00FF0280" w:rsidP="0036292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BACS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D4B369" w14:textId="77777777" w:rsidR="00FF0280" w:rsidRPr="00775C69" w:rsidRDefault="00FF0280" w:rsidP="0036292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F3B02A" w14:textId="291883CE" w:rsidR="00FF0280" w:rsidRDefault="00FF0280" w:rsidP="003629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I,B &amp; W Village Hall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BA201C" w14:textId="0E4F1790" w:rsidR="00FF0280" w:rsidRDefault="00FF0280" w:rsidP="003629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Hire (Sept)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EBEBF" w14:textId="24C731D6" w:rsidR="00FF0280" w:rsidRDefault="00FF0280" w:rsidP="0036292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£7.00</w:t>
            </w:r>
          </w:p>
        </w:tc>
      </w:tr>
      <w:tr w:rsidR="00FF0280" w:rsidRPr="00775C69" w14:paraId="6A840473" w14:textId="77777777" w:rsidTr="00FF0280">
        <w:trPr>
          <w:trHeight w:val="288"/>
        </w:trPr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83AE5" w14:textId="4CB946D0" w:rsidR="00FF0280" w:rsidRDefault="00FF0280" w:rsidP="0036292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Bank Charge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8425A" w14:textId="77777777" w:rsidR="00FF0280" w:rsidRPr="00775C69" w:rsidRDefault="00FF0280" w:rsidP="0036292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D64FDC" w14:textId="22F78AA7" w:rsidR="00FF0280" w:rsidRDefault="00FF0280" w:rsidP="003629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Lloyds Bank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28A9C" w14:textId="19AF0820" w:rsidR="00FF0280" w:rsidRDefault="00FF0280" w:rsidP="0036292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Service Charge (August))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C346D" w14:textId="089BA7FF" w:rsidR="00FF0280" w:rsidRDefault="00A11C74" w:rsidP="0036292A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£4.75</w:t>
            </w:r>
          </w:p>
        </w:tc>
      </w:tr>
    </w:tbl>
    <w:p w14:paraId="1ADC7FE5" w14:textId="6D2751AE" w:rsidR="00300C51" w:rsidRPr="00E2442F" w:rsidRDefault="00FF0280" w:rsidP="00300C51">
      <w:pPr>
        <w:spacing w:before="240"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6.</w:t>
      </w:r>
      <w:r w:rsidR="00E13FFF">
        <w:rPr>
          <w:rFonts w:ascii="Arial" w:hAnsi="Arial" w:cs="Arial"/>
          <w:b/>
          <w:bCs/>
          <w:sz w:val="20"/>
          <w:szCs w:val="20"/>
        </w:rPr>
        <w:t>.</w:t>
      </w:r>
      <w:r w:rsidR="00300C51">
        <w:rPr>
          <w:rFonts w:ascii="Arial" w:hAnsi="Arial" w:cs="Arial"/>
          <w:b/>
          <w:bCs/>
          <w:sz w:val="20"/>
          <w:szCs w:val="20"/>
        </w:rPr>
        <w:t xml:space="preserve"> Planning – to consider any applications received: </w:t>
      </w:r>
      <w:r w:rsidR="00300C51">
        <w:rPr>
          <w:rFonts w:ascii="Arial" w:hAnsi="Arial" w:cs="Arial"/>
          <w:sz w:val="20"/>
          <w:szCs w:val="20"/>
        </w:rPr>
        <w:t>None</w:t>
      </w:r>
    </w:p>
    <w:p w14:paraId="1823220D" w14:textId="6AB30388" w:rsidR="00300C51" w:rsidRDefault="00FF0280" w:rsidP="00300C51">
      <w:pPr>
        <w:spacing w:before="240"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</w:t>
      </w:r>
      <w:r w:rsidR="00E13FFF">
        <w:rPr>
          <w:rFonts w:ascii="Arial" w:hAnsi="Arial" w:cs="Arial"/>
          <w:b/>
          <w:bCs/>
          <w:sz w:val="20"/>
          <w:szCs w:val="20"/>
        </w:rPr>
        <w:t>.</w:t>
      </w:r>
      <w:r w:rsidR="00300C51">
        <w:rPr>
          <w:rFonts w:ascii="Arial" w:hAnsi="Arial" w:cs="Arial"/>
          <w:b/>
          <w:bCs/>
          <w:sz w:val="20"/>
          <w:szCs w:val="20"/>
        </w:rPr>
        <w:t xml:space="preserve"> Highways and rights-of-way – to consider any issues: </w:t>
      </w:r>
    </w:p>
    <w:p w14:paraId="6D283A8B" w14:textId="09F9A151" w:rsidR="00A11C74" w:rsidRPr="00A11C74" w:rsidRDefault="001A60FE" w:rsidP="00300C51">
      <w:pPr>
        <w:pStyle w:val="ListParagraph"/>
        <w:numPr>
          <w:ilvl w:val="0"/>
          <w:numId w:val="3"/>
        </w:numPr>
        <w:spacing w:before="240" w:after="240"/>
        <w:rPr>
          <w:rFonts w:ascii="Arial" w:hAnsi="Arial" w:cs="Arial"/>
          <w:b/>
          <w:bCs/>
          <w:sz w:val="20"/>
          <w:szCs w:val="20"/>
        </w:rPr>
      </w:pPr>
      <w:r w:rsidRPr="00A11C74">
        <w:rPr>
          <w:rFonts w:ascii="Arial" w:hAnsi="Arial" w:cs="Arial"/>
          <w:b/>
          <w:bCs/>
          <w:sz w:val="20"/>
          <w:szCs w:val="20"/>
        </w:rPr>
        <w:t xml:space="preserve">Condition of road between the ford and </w:t>
      </w:r>
      <w:proofErr w:type="spellStart"/>
      <w:r w:rsidRPr="00A11C74">
        <w:rPr>
          <w:rFonts w:ascii="Arial" w:hAnsi="Arial" w:cs="Arial"/>
          <w:b/>
          <w:bCs/>
          <w:sz w:val="20"/>
          <w:szCs w:val="20"/>
        </w:rPr>
        <w:t>Kitford</w:t>
      </w:r>
      <w:proofErr w:type="spellEnd"/>
      <w:r w:rsidRPr="00A11C74">
        <w:rPr>
          <w:rFonts w:ascii="Arial" w:hAnsi="Arial" w:cs="Arial"/>
          <w:b/>
          <w:bCs/>
          <w:sz w:val="20"/>
          <w:szCs w:val="20"/>
        </w:rPr>
        <w:t xml:space="preserve"> Corner: </w:t>
      </w:r>
      <w:r w:rsidRPr="00A11C74">
        <w:rPr>
          <w:rFonts w:ascii="Arial" w:hAnsi="Arial" w:cs="Arial"/>
          <w:sz w:val="20"/>
          <w:szCs w:val="20"/>
        </w:rPr>
        <w:t xml:space="preserve">This section of </w:t>
      </w:r>
      <w:r w:rsidR="003E6BEA">
        <w:rPr>
          <w:rFonts w:ascii="Arial" w:hAnsi="Arial" w:cs="Arial"/>
          <w:sz w:val="20"/>
          <w:szCs w:val="20"/>
        </w:rPr>
        <w:t xml:space="preserve">road </w:t>
      </w:r>
      <w:r w:rsidRPr="00A11C74">
        <w:rPr>
          <w:rFonts w:ascii="Arial" w:hAnsi="Arial" w:cs="Arial"/>
          <w:sz w:val="20"/>
          <w:szCs w:val="20"/>
        </w:rPr>
        <w:t>is in a very poor state of repair which is deteriorating further</w:t>
      </w:r>
      <w:r w:rsidR="00A11C74" w:rsidRPr="00A11C74">
        <w:rPr>
          <w:rFonts w:ascii="Arial" w:hAnsi="Arial" w:cs="Arial"/>
          <w:sz w:val="20"/>
          <w:szCs w:val="20"/>
        </w:rPr>
        <w:t>,</w:t>
      </w:r>
      <w:r w:rsidRPr="00A11C74">
        <w:rPr>
          <w:rFonts w:ascii="Arial" w:hAnsi="Arial" w:cs="Arial"/>
          <w:sz w:val="20"/>
          <w:szCs w:val="20"/>
        </w:rPr>
        <w:t xml:space="preserve"> possibly due to construction work being </w:t>
      </w:r>
      <w:r w:rsidRPr="00A11C74">
        <w:rPr>
          <w:rFonts w:ascii="Arial" w:hAnsi="Arial" w:cs="Arial"/>
          <w:sz w:val="20"/>
          <w:szCs w:val="20"/>
        </w:rPr>
        <w:lastRenderedPageBreak/>
        <w:t xml:space="preserve">undertaken at </w:t>
      </w:r>
      <w:proofErr w:type="spellStart"/>
      <w:r w:rsidRPr="00A11C74">
        <w:rPr>
          <w:rFonts w:ascii="Arial" w:hAnsi="Arial" w:cs="Arial"/>
          <w:sz w:val="20"/>
          <w:szCs w:val="20"/>
        </w:rPr>
        <w:t>Kitford</w:t>
      </w:r>
      <w:proofErr w:type="spellEnd"/>
      <w:r w:rsidRPr="00A11C74">
        <w:rPr>
          <w:rFonts w:ascii="Arial" w:hAnsi="Arial" w:cs="Arial"/>
          <w:sz w:val="20"/>
          <w:szCs w:val="20"/>
        </w:rPr>
        <w:t xml:space="preserve"> Cottages and local tree felling activity. (NA) will enquire </w:t>
      </w:r>
      <w:r w:rsidR="00A11C74" w:rsidRPr="00A11C74">
        <w:rPr>
          <w:rFonts w:ascii="Arial" w:hAnsi="Arial" w:cs="Arial"/>
          <w:sz w:val="20"/>
          <w:szCs w:val="20"/>
        </w:rPr>
        <w:t>with D</w:t>
      </w:r>
      <w:r w:rsidR="00A11C74">
        <w:rPr>
          <w:rFonts w:ascii="Arial" w:hAnsi="Arial" w:cs="Arial"/>
          <w:sz w:val="20"/>
          <w:szCs w:val="20"/>
        </w:rPr>
        <w:t>orset CC</w:t>
      </w:r>
      <w:r w:rsidR="00A11C74" w:rsidRPr="00A11C74">
        <w:rPr>
          <w:rFonts w:ascii="Arial" w:hAnsi="Arial" w:cs="Arial"/>
          <w:sz w:val="20"/>
          <w:szCs w:val="20"/>
        </w:rPr>
        <w:t xml:space="preserve"> if any repairs are planned. (RS) will ask the owners of </w:t>
      </w:r>
      <w:proofErr w:type="spellStart"/>
      <w:r w:rsidR="00A11C74" w:rsidRPr="00A11C74">
        <w:rPr>
          <w:rFonts w:ascii="Arial" w:hAnsi="Arial" w:cs="Arial"/>
          <w:sz w:val="20"/>
          <w:szCs w:val="20"/>
        </w:rPr>
        <w:t>Kitford</w:t>
      </w:r>
      <w:proofErr w:type="spellEnd"/>
      <w:r w:rsidR="00A11C74" w:rsidRPr="00A11C74">
        <w:rPr>
          <w:rFonts w:ascii="Arial" w:hAnsi="Arial" w:cs="Arial"/>
          <w:sz w:val="20"/>
          <w:szCs w:val="20"/>
        </w:rPr>
        <w:t xml:space="preserve"> Cottages if their builders can keep the road clear of any debris resulting from their activity.</w:t>
      </w:r>
    </w:p>
    <w:p w14:paraId="1211E321" w14:textId="7CB59F58" w:rsidR="00E13FFF" w:rsidRPr="00A11C74" w:rsidRDefault="00E13FFF" w:rsidP="00300C51">
      <w:pPr>
        <w:pStyle w:val="ListParagraph"/>
        <w:numPr>
          <w:ilvl w:val="0"/>
          <w:numId w:val="3"/>
        </w:numPr>
        <w:spacing w:before="240" w:after="240"/>
        <w:rPr>
          <w:rFonts w:ascii="Arial" w:hAnsi="Arial" w:cs="Arial"/>
          <w:b/>
          <w:bCs/>
          <w:sz w:val="20"/>
          <w:szCs w:val="20"/>
        </w:rPr>
      </w:pPr>
      <w:r w:rsidRPr="00A11C74">
        <w:rPr>
          <w:rFonts w:ascii="Arial" w:hAnsi="Arial" w:cs="Arial"/>
          <w:b/>
          <w:bCs/>
          <w:sz w:val="20"/>
          <w:szCs w:val="20"/>
        </w:rPr>
        <w:t>Leigh Lane:</w:t>
      </w:r>
      <w:r w:rsidRPr="00A11C74">
        <w:rPr>
          <w:rFonts w:ascii="Arial" w:hAnsi="Arial" w:cs="Arial"/>
          <w:sz w:val="20"/>
          <w:szCs w:val="20"/>
        </w:rPr>
        <w:t xml:space="preserve"> </w:t>
      </w:r>
      <w:r w:rsidR="00A11C74">
        <w:rPr>
          <w:rFonts w:ascii="Arial" w:hAnsi="Arial" w:cs="Arial"/>
          <w:sz w:val="20"/>
          <w:szCs w:val="20"/>
        </w:rPr>
        <w:t>As a result of the r</w:t>
      </w:r>
      <w:r w:rsidRPr="00A11C74">
        <w:rPr>
          <w:rFonts w:ascii="Arial" w:hAnsi="Arial" w:cs="Arial"/>
          <w:sz w:val="20"/>
          <w:szCs w:val="20"/>
        </w:rPr>
        <w:t>esurfacing work</w:t>
      </w:r>
      <w:r w:rsidR="00A11C74">
        <w:rPr>
          <w:rFonts w:ascii="Arial" w:hAnsi="Arial" w:cs="Arial"/>
          <w:sz w:val="20"/>
          <w:szCs w:val="20"/>
        </w:rPr>
        <w:t xml:space="preserve"> undertaken overspill of the materials used has caused drainage gullies to be blocked. (NA) will contact Dorset CC to advise of the problem.</w:t>
      </w:r>
    </w:p>
    <w:p w14:paraId="0B6E844D" w14:textId="011DDB29" w:rsidR="00E13FFF" w:rsidRPr="00E13FFF" w:rsidRDefault="00300C51" w:rsidP="00300C51">
      <w:pPr>
        <w:pStyle w:val="ListParagraph"/>
        <w:numPr>
          <w:ilvl w:val="0"/>
          <w:numId w:val="3"/>
        </w:numPr>
        <w:spacing w:before="240" w:after="240"/>
        <w:rPr>
          <w:rFonts w:ascii="Arial" w:hAnsi="Arial" w:cs="Arial"/>
          <w:b/>
          <w:bCs/>
          <w:sz w:val="20"/>
          <w:szCs w:val="20"/>
        </w:rPr>
      </w:pPr>
      <w:r w:rsidRPr="00E13FFF">
        <w:rPr>
          <w:rFonts w:ascii="Arial" w:hAnsi="Arial" w:cs="Arial"/>
          <w:b/>
          <w:bCs/>
          <w:sz w:val="20"/>
          <w:szCs w:val="20"/>
        </w:rPr>
        <w:t>Back Hollow:</w:t>
      </w:r>
      <w:r w:rsidRPr="00E13FFF">
        <w:rPr>
          <w:rFonts w:ascii="Arial" w:hAnsi="Arial" w:cs="Arial"/>
          <w:sz w:val="20"/>
          <w:szCs w:val="20"/>
        </w:rPr>
        <w:t xml:space="preserve"> </w:t>
      </w:r>
      <w:r w:rsidR="00E13FFF" w:rsidRPr="00E13FFF">
        <w:rPr>
          <w:rFonts w:ascii="Arial" w:hAnsi="Arial" w:cs="Arial"/>
          <w:sz w:val="20"/>
          <w:szCs w:val="20"/>
        </w:rPr>
        <w:t xml:space="preserve">(NA) </w:t>
      </w:r>
      <w:r w:rsidR="00A11C74">
        <w:rPr>
          <w:rFonts w:ascii="Arial" w:hAnsi="Arial" w:cs="Arial"/>
          <w:sz w:val="20"/>
          <w:szCs w:val="20"/>
        </w:rPr>
        <w:t>will once again raise the</w:t>
      </w:r>
      <w:r w:rsidR="00E13FFF" w:rsidRPr="00E13FFF">
        <w:rPr>
          <w:rFonts w:ascii="Arial" w:hAnsi="Arial" w:cs="Arial"/>
          <w:sz w:val="20"/>
          <w:szCs w:val="20"/>
        </w:rPr>
        <w:t xml:space="preserve"> concerns about the condition of Back Hollo</w:t>
      </w:r>
      <w:r w:rsidR="00A11C74">
        <w:rPr>
          <w:rFonts w:ascii="Arial" w:hAnsi="Arial" w:cs="Arial"/>
          <w:sz w:val="20"/>
          <w:szCs w:val="20"/>
        </w:rPr>
        <w:t>w</w:t>
      </w:r>
      <w:r w:rsidR="003F7BF7">
        <w:rPr>
          <w:rFonts w:ascii="Arial" w:hAnsi="Arial" w:cs="Arial"/>
          <w:sz w:val="20"/>
          <w:szCs w:val="20"/>
        </w:rPr>
        <w:t xml:space="preserve"> with Dorset CC</w:t>
      </w:r>
      <w:r w:rsidR="00A11C74">
        <w:rPr>
          <w:rFonts w:ascii="Arial" w:hAnsi="Arial" w:cs="Arial"/>
          <w:sz w:val="20"/>
          <w:szCs w:val="20"/>
        </w:rPr>
        <w:t>.</w:t>
      </w:r>
    </w:p>
    <w:p w14:paraId="04701ABD" w14:textId="5E3C48B3" w:rsidR="00300C51" w:rsidRDefault="00822283" w:rsidP="00300C51">
      <w:pPr>
        <w:spacing w:before="240"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8. </w:t>
      </w:r>
      <w:r w:rsidR="00300C51">
        <w:rPr>
          <w:rFonts w:ascii="Arial" w:hAnsi="Arial" w:cs="Arial"/>
          <w:b/>
          <w:bCs/>
          <w:sz w:val="20"/>
          <w:szCs w:val="20"/>
        </w:rPr>
        <w:t xml:space="preserve">Report from Dorset Council councillor Steve Murcer: </w:t>
      </w:r>
      <w:r w:rsidR="00300C51">
        <w:rPr>
          <w:rFonts w:ascii="Arial" w:hAnsi="Arial" w:cs="Arial"/>
          <w:sz w:val="20"/>
          <w:szCs w:val="20"/>
        </w:rPr>
        <w:t xml:space="preserve">Steve was </w:t>
      </w:r>
      <w:r w:rsidR="00D47F2E">
        <w:rPr>
          <w:rFonts w:ascii="Arial" w:hAnsi="Arial" w:cs="Arial"/>
          <w:sz w:val="20"/>
          <w:szCs w:val="20"/>
        </w:rPr>
        <w:t>unable to attend the meeting</w:t>
      </w:r>
      <w:r w:rsidR="00300C51">
        <w:rPr>
          <w:rFonts w:ascii="Arial" w:hAnsi="Arial" w:cs="Arial"/>
          <w:sz w:val="20"/>
          <w:szCs w:val="20"/>
        </w:rPr>
        <w:t>.</w:t>
      </w:r>
    </w:p>
    <w:p w14:paraId="5BBE65A1" w14:textId="6FAD446A" w:rsidR="00300C51" w:rsidRPr="00A06C60" w:rsidRDefault="00822283" w:rsidP="00300C51">
      <w:pPr>
        <w:spacing w:before="240"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9.</w:t>
      </w:r>
      <w:r w:rsidR="00300C51">
        <w:rPr>
          <w:rFonts w:ascii="Arial" w:hAnsi="Arial" w:cs="Arial"/>
          <w:b/>
          <w:bCs/>
          <w:sz w:val="20"/>
          <w:szCs w:val="20"/>
        </w:rPr>
        <w:t xml:space="preserve"> Correspondence: </w:t>
      </w:r>
      <w:r>
        <w:rPr>
          <w:rFonts w:ascii="Arial" w:hAnsi="Arial" w:cs="Arial"/>
          <w:b/>
          <w:bCs/>
          <w:sz w:val="20"/>
          <w:szCs w:val="20"/>
        </w:rPr>
        <w:t xml:space="preserve">Request from Dorset and Somerset Air Ambulance Service: </w:t>
      </w:r>
      <w:r>
        <w:rPr>
          <w:rFonts w:ascii="Arial" w:hAnsi="Arial" w:cs="Arial"/>
          <w:sz w:val="20"/>
          <w:szCs w:val="20"/>
        </w:rPr>
        <w:t xml:space="preserve">(AO) Letter received asking permission to site a clothes bank collection point within the village. </w:t>
      </w:r>
      <w:r w:rsidR="003E6BEA">
        <w:rPr>
          <w:rFonts w:ascii="Arial" w:hAnsi="Arial" w:cs="Arial"/>
          <w:sz w:val="20"/>
          <w:szCs w:val="20"/>
        </w:rPr>
        <w:t xml:space="preserve">Those present agreed to supporting this request and considered the only suitable location would be the Village Hall car park. </w:t>
      </w:r>
      <w:r>
        <w:rPr>
          <w:rFonts w:ascii="Arial" w:hAnsi="Arial" w:cs="Arial"/>
          <w:sz w:val="20"/>
          <w:szCs w:val="20"/>
        </w:rPr>
        <w:t xml:space="preserve">The letter has been passed to Mr Owen Yeatman for consideration by the Village Hall Committee </w:t>
      </w:r>
      <w:r w:rsidR="003E6BEA">
        <w:rPr>
          <w:rFonts w:ascii="Arial" w:hAnsi="Arial" w:cs="Arial"/>
          <w:sz w:val="20"/>
          <w:szCs w:val="20"/>
        </w:rPr>
        <w:t>at their next meeting.</w:t>
      </w:r>
    </w:p>
    <w:p w14:paraId="324DA855" w14:textId="0738988F" w:rsidR="00300C51" w:rsidRPr="00DC5AFD" w:rsidRDefault="00822283" w:rsidP="00300C51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10. </w:t>
      </w:r>
      <w:r w:rsidR="00300C51">
        <w:rPr>
          <w:rFonts w:ascii="Arial" w:hAnsi="Arial" w:cs="Arial"/>
          <w:b/>
          <w:bCs/>
          <w:sz w:val="20"/>
          <w:szCs w:val="20"/>
        </w:rPr>
        <w:t>Future meetings:</w:t>
      </w:r>
      <w:r w:rsidR="00300C5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Next meeting to be held early December (NA) to </w:t>
      </w:r>
      <w:r w:rsidR="00300C51">
        <w:rPr>
          <w:rFonts w:ascii="Arial" w:hAnsi="Arial" w:cs="Arial"/>
          <w:sz w:val="20"/>
          <w:szCs w:val="20"/>
        </w:rPr>
        <w:t>organise</w:t>
      </w:r>
      <w:r>
        <w:rPr>
          <w:rFonts w:ascii="Arial" w:hAnsi="Arial" w:cs="Arial"/>
          <w:sz w:val="20"/>
          <w:szCs w:val="20"/>
        </w:rPr>
        <w:t>.</w:t>
      </w:r>
    </w:p>
    <w:p w14:paraId="683F8C5C" w14:textId="75E89003" w:rsidR="00300C51" w:rsidRPr="005227B5" w:rsidRDefault="00300C51" w:rsidP="00300C51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Close of meeting:</w:t>
      </w:r>
      <w:r>
        <w:rPr>
          <w:rFonts w:ascii="Arial" w:hAnsi="Arial" w:cs="Arial"/>
          <w:sz w:val="20"/>
          <w:szCs w:val="20"/>
        </w:rPr>
        <w:t xml:space="preserve"> With no further business to discuss the Chairman closed the meeting at </w:t>
      </w:r>
      <w:r w:rsidR="00822283">
        <w:rPr>
          <w:rFonts w:ascii="Arial" w:hAnsi="Arial" w:cs="Arial"/>
          <w:sz w:val="20"/>
          <w:szCs w:val="20"/>
        </w:rPr>
        <w:t>7.57</w:t>
      </w:r>
      <w:r>
        <w:rPr>
          <w:rFonts w:ascii="Arial" w:hAnsi="Arial" w:cs="Arial"/>
          <w:sz w:val="20"/>
          <w:szCs w:val="20"/>
        </w:rPr>
        <w:t xml:space="preserve"> pm.</w:t>
      </w:r>
    </w:p>
    <w:p w14:paraId="68F88A33" w14:textId="77777777" w:rsidR="00300C51" w:rsidRDefault="00300C51" w:rsidP="00300C51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DAAC22" w14:textId="77777777" w:rsidR="00300C51" w:rsidRDefault="00300C51" w:rsidP="00300C51">
      <w:pPr>
        <w:rPr>
          <w:rFonts w:ascii="Arial" w:hAnsi="Arial" w:cs="Arial"/>
          <w:sz w:val="20"/>
          <w:szCs w:val="20"/>
        </w:rPr>
      </w:pPr>
    </w:p>
    <w:p w14:paraId="5B86E20D" w14:textId="77777777" w:rsidR="0060692A" w:rsidRDefault="0060692A"/>
    <w:sectPr w:rsidR="0060692A" w:rsidSect="00300C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367" w14:textId="77777777" w:rsidR="00983CC6" w:rsidRDefault="00983CC6">
      <w:r>
        <w:separator/>
      </w:r>
    </w:p>
  </w:endnote>
  <w:endnote w:type="continuationSeparator" w:id="0">
    <w:p w14:paraId="7FEEC269" w14:textId="77777777" w:rsidR="00983CC6" w:rsidRDefault="0098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F5391" w14:textId="77777777" w:rsidR="00300C51" w:rsidRDefault="00300C51" w:rsidP="00620898">
    <w:pPr>
      <w:pStyle w:val="Footer"/>
      <w:jc w:val="center"/>
    </w:pPr>
  </w:p>
  <w:p w14:paraId="6145B43F" w14:textId="77777777" w:rsidR="00300C51" w:rsidRDefault="00300C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1C1E" w14:textId="77777777" w:rsidR="00300C51" w:rsidRDefault="00300C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C927" w14:textId="77777777" w:rsidR="00300C51" w:rsidRDefault="00300C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7B6C1" w14:textId="77777777" w:rsidR="00983CC6" w:rsidRDefault="00983CC6">
      <w:r>
        <w:separator/>
      </w:r>
    </w:p>
  </w:footnote>
  <w:footnote w:type="continuationSeparator" w:id="0">
    <w:p w14:paraId="57FE40F1" w14:textId="77777777" w:rsidR="00983CC6" w:rsidRDefault="00983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A5384" w14:textId="77777777" w:rsidR="00300C51" w:rsidRDefault="00300C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FD45" w14:textId="5F69923E" w:rsidR="00300C51" w:rsidRDefault="00300C51">
    <w:pPr>
      <w:pStyle w:val="Header"/>
    </w:pPr>
    <w:r>
      <w:tab/>
    </w:r>
    <w:r>
      <w:tab/>
    </w:r>
  </w:p>
  <w:p w14:paraId="55BB2272" w14:textId="77777777" w:rsidR="00300C51" w:rsidRDefault="00300C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2E6AC" w14:textId="77777777" w:rsidR="00300C51" w:rsidRDefault="00300C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E2D66"/>
    <w:multiLevelType w:val="hybridMultilevel"/>
    <w:tmpl w:val="C7F24CDC"/>
    <w:lvl w:ilvl="0" w:tplc="E99C83FA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13502"/>
    <w:multiLevelType w:val="hybridMultilevel"/>
    <w:tmpl w:val="2B049446"/>
    <w:lvl w:ilvl="0" w:tplc="E99C83FA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E1A11"/>
    <w:multiLevelType w:val="hybridMultilevel"/>
    <w:tmpl w:val="1FE6030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446569">
    <w:abstractNumId w:val="2"/>
  </w:num>
  <w:num w:numId="2" w16cid:durableId="1355763402">
    <w:abstractNumId w:val="1"/>
  </w:num>
  <w:num w:numId="3" w16cid:durableId="1860506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51"/>
    <w:rsid w:val="000E66AF"/>
    <w:rsid w:val="000F28CF"/>
    <w:rsid w:val="001A60FE"/>
    <w:rsid w:val="001D15F2"/>
    <w:rsid w:val="00283EC5"/>
    <w:rsid w:val="002A7303"/>
    <w:rsid w:val="002C1012"/>
    <w:rsid w:val="002D6001"/>
    <w:rsid w:val="00300C51"/>
    <w:rsid w:val="003C30CC"/>
    <w:rsid w:val="003E6BEA"/>
    <w:rsid w:val="003F7BF7"/>
    <w:rsid w:val="00451C77"/>
    <w:rsid w:val="00455D98"/>
    <w:rsid w:val="005E6570"/>
    <w:rsid w:val="0060692A"/>
    <w:rsid w:val="00635A7D"/>
    <w:rsid w:val="0065791D"/>
    <w:rsid w:val="00736282"/>
    <w:rsid w:val="00822283"/>
    <w:rsid w:val="00877349"/>
    <w:rsid w:val="00954EC0"/>
    <w:rsid w:val="00983CC6"/>
    <w:rsid w:val="009E4FBB"/>
    <w:rsid w:val="00A11C74"/>
    <w:rsid w:val="00AB313E"/>
    <w:rsid w:val="00AC1430"/>
    <w:rsid w:val="00B2548D"/>
    <w:rsid w:val="00C67976"/>
    <w:rsid w:val="00CD0644"/>
    <w:rsid w:val="00CE20CB"/>
    <w:rsid w:val="00D47F2E"/>
    <w:rsid w:val="00E0176E"/>
    <w:rsid w:val="00E13FFF"/>
    <w:rsid w:val="00EB0AA4"/>
    <w:rsid w:val="00EC39FA"/>
    <w:rsid w:val="00F96E27"/>
    <w:rsid w:val="00FF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BDA92"/>
  <w15:chartTrackingRefBased/>
  <w15:docId w15:val="{939C0920-E4BA-4D60-BC9D-567CE052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C51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C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C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C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C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C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C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0C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C5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0C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C5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3468</Characters>
  <Application>Microsoft Office Word</Application>
  <DocSecurity>0</DocSecurity>
  <Lines>109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Alexander</dc:creator>
  <cp:keywords/>
  <dc:description/>
  <cp:lastModifiedBy>Nigel Alexander</cp:lastModifiedBy>
  <cp:revision>8</cp:revision>
  <dcterms:created xsi:type="dcterms:W3CDTF">2025-09-03T07:32:00Z</dcterms:created>
  <dcterms:modified xsi:type="dcterms:W3CDTF">2026-01-28T13:39:00Z</dcterms:modified>
</cp:coreProperties>
</file>